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4"/>
        </w:rPr>
      </w:pPr>
      <w:r>
        <w:rPr/>
        <w:t xml:space="preserve">Бюджетное учреждение Республики Алтай </w:t>
      </w:r>
    </w:p>
    <w:p>
      <w:pPr>
        <w:pStyle w:val="211"/>
        <w:spacing w:lineRule="auto" w:line="240"/>
        <w:ind w:hanging="0"/>
        <w:jc w:val="center"/>
        <w:rPr/>
      </w:pPr>
      <w:r>
        <w:rPr>
          <w:szCs w:val="24"/>
        </w:rPr>
        <w:t xml:space="preserve">для детей, нуждающихся в </w:t>
      </w:r>
      <w:r>
        <w:rPr>
          <w:bCs/>
        </w:rPr>
        <w:t>психолого</w:t>
      </w:r>
      <w:r>
        <w:rPr/>
        <w:t xml:space="preserve">-педагогической и </w:t>
      </w:r>
      <w:r>
        <w:rPr>
          <w:bCs/>
        </w:rPr>
        <w:t>медико</w:t>
      </w:r>
      <w:r>
        <w:rPr/>
        <w:t>-социальной</w:t>
      </w:r>
    </w:p>
    <w:p>
      <w:pPr>
        <w:pStyle w:val="211"/>
        <w:spacing w:lineRule="auto" w:line="240"/>
        <w:ind w:hanging="0"/>
        <w:jc w:val="center"/>
        <w:rPr>
          <w:szCs w:val="24"/>
        </w:rPr>
      </w:pPr>
      <w:r>
        <w:rPr/>
        <w:t xml:space="preserve">помощи </w:t>
      </w:r>
      <w:r>
        <w:rPr>
          <w:szCs w:val="24"/>
        </w:rPr>
        <w:t>«Центр психолого-медико-социального сопровождения»</w:t>
      </w:r>
    </w:p>
    <w:p>
      <w:pPr>
        <w:pStyle w:val="Normal"/>
        <w:tabs>
          <w:tab w:val="left" w:pos="550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550" w:leader="none"/>
        </w:tabs>
        <w:jc w:val="center"/>
        <w:rPr>
          <w:color w:val="000000"/>
        </w:rPr>
      </w:pPr>
      <w:r>
        <w:rPr>
          <w:color w:val="000000"/>
        </w:rPr>
      </w:r>
    </w:p>
    <w:tbl>
      <w:tblPr>
        <w:tblW w:w="10449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932"/>
        <w:gridCol w:w="4516"/>
      </w:tblGrid>
      <w:tr>
        <w:trPr/>
        <w:tc>
          <w:tcPr>
            <w:tcW w:w="5932" w:type="dxa"/>
            <w:tcBorders/>
            <w:shd w:fill="auto" w:val="clear"/>
          </w:tcPr>
          <w:p>
            <w:pPr>
              <w:pStyle w:val="Iauiue"/>
              <w:widowControl w:val="false"/>
              <w:snapToGrid w:val="false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16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УТВЕРЖДАЮ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Врио директора БУ РА «Центр ПМСС»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  Н.Н. Кащеева</w:t>
            </w:r>
          </w:p>
          <w:p>
            <w:pPr>
              <w:pStyle w:val="Iauiue"/>
              <w:widowControl w:val="false"/>
              <w:ind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  201__ г. №____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Положение об </w:t>
      </w:r>
      <w:r>
        <w:rPr>
          <w:rFonts w:cs="Times New Roman" w:ascii="Times New Roman" w:hAnsi="Times New Roman"/>
          <w:b/>
          <w:sz w:val="28"/>
          <w:szCs w:val="28"/>
        </w:rPr>
        <w:t xml:space="preserve">организации и осуществлении образовательной 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деятельности по дополнительным профессиональным программам </w:t>
      </w:r>
      <w:r>
        <w:rPr>
          <w:rFonts w:ascii="Times New Roman" w:hAnsi="Times New Roman"/>
          <w:b/>
          <w:sz w:val="28"/>
          <w:szCs w:val="28"/>
        </w:rPr>
        <w:t>(программам повышения квалификации)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Настоящее положение об организации и осуществлении образовательной деятельности по дополнительным профессиональным программам (программам повышения квалификации) (далее - Положение) устанавливает правила организации и осуществления образовательной деятельности по дополнительным профессиональным программам (программам повышения квалификации) БУ «Центр психолого-медико-социального сопровождения».</w:t>
      </w:r>
    </w:p>
    <w:p>
      <w:pPr>
        <w:pStyle w:val="Normal"/>
        <w:widowControl w:val="false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Положение разработано в соответствии с Федеральным законом Российской Федерации от 29.12.2012 г.  № 273-ФЗ «Об образовании в Российской Федерации», приказом Минобрнауки России от 0</w:t>
      </w:r>
      <w:r>
        <w:rPr>
          <w:rFonts w:cs="Times New Roman" w:ascii="Times New Roman" w:hAnsi="Times New Roman"/>
          <w:bCs/>
          <w:sz w:val="28"/>
          <w:szCs w:val="28"/>
        </w:rPr>
        <w:t xml:space="preserve">1.07.2013 г. № 499 «Об утверждении порядка организации и осуществления образовательной деятельности </w:t>
      </w:r>
      <w:r>
        <w:rPr>
          <w:rFonts w:cs="Times New Roman" w:ascii="Times New Roman" w:hAnsi="Times New Roman"/>
          <w:sz w:val="28"/>
          <w:szCs w:val="28"/>
        </w:rPr>
        <w:t>по дополнительным профессиональным программам», приказом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письмом Минобрнауки России от 09.10.2013 г. № 06-735 «О дополнительном профессиональном образовании» (вместе с «Разъяснениями о законодательном и нормативном правом обеспечении дополнительного профессионального образования»), письмом Минобрнауки России от 30 марта 2015 г. N АК-821/06 «О направлении методических рекомендаций по итоговой аттестации слушателей», письмом Минобрнауки России от 21 апреля 2015 г. №ВК-1013/06 «О направлении методических рекомендаций по реализации дополнительных профессиональных программ», Уставом МБОУ «Центр психолого-медико-социального сопровождения».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1.3. </w:t>
      </w:r>
      <w:r>
        <w:rPr>
          <w:rFonts w:cs="Times New Roman" w:ascii="Times New Roman" w:hAnsi="Times New Roman"/>
          <w:sz w:val="28"/>
          <w:szCs w:val="28"/>
        </w:rPr>
        <w:t xml:space="preserve">Положение регулирует распределение обязанностей по подготовке, организации и проведению курсов повышения квалификации в БУ «Центр психолого-медико-социального сопровождения» (далее – Центр).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квалификации). </w:t>
      </w:r>
    </w:p>
    <w:p>
      <w:pPr>
        <w:pStyle w:val="ConsPlusNormal"/>
        <w:tabs>
          <w:tab w:val="left" w:pos="284" w:leader="none"/>
          <w:tab w:val="left" w:pos="426" w:leader="none"/>
          <w:tab w:val="left" w:pos="709" w:leader="none"/>
          <w:tab w:val="left" w:pos="851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Организация и проведение курсов повышения квалификации (далее – курсы) является одним из видов деятельности Центра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, осуществляемых на платной основе.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Содержание курсов определяется образовательной программой, разработанной и утвержденной организацией, если иное не установлено Федеральным законом от 29 декабря 2012 г. № 273-ФЗ «Об образовании в Российской Федерации» и другими федеральными законами, с учетом потребностей слушателя, организации, по инициативе которых осуществляется дополнительное профессиональное образование.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Для определения структуры дополнительной профессиональной программы и трудоемкости ее освоения применяется система зачетных единиц. Количество зачетных единиц по дополнительной профессиональной программе установлена локальным актом Центра.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(далее – слушатели).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1.9. Дополнительная профессиональная образовательная программа может реализовываться в формах, предусмотренных Федеральным законом от 29.12.2012 г. № 273-ФЗ, а также полностью или частично в форме стажировки.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обеспечивает возможность достижения планируемых результатов и получение новой компетенции, заявленных в программе.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1.10.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 в зависимости от реализуемой дополнительной профессиональной программы.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Центра.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1.11. Ответственными за организацию, качество и сроки проведения курсов являются сотрудники, указанные в разделе 2 настоящего Порядка.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1.12. Координация и контроль проведения курсов осуществляется руководством Центра.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2. Порядок деятельности по организации курсов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Реализация программы повышения квалификации направлена на совершенствование и(или) получение новой компетенции, необходимой для профессиональной деятельности, и(или) повышение профессионального уровня в рамках имеющейся квалификации.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Дополнительные профессиональные программы реализуются Центром как самостоятельно, так и посредством сетевых форм их реализации.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Курсы проводятся на базе Центра или образовательных организаций, с которыми заключен соответствующий договор.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Организация осуществляет обучение по дополнительной профессиональной программе на основе договора об образовании, заключаемого со слушателем или с физическим или юридическим лицом, обязующимся оплатить обучение лица, зачисляемого на обучение.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Занятия по образовательной программе повышения квалификации проводят специалисты Центра и привлеченные преподаватели.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Сотрудники Центра, ответственные за организацию, качество и сроки проведения курсов (далее – ответственный сотрудник) назначаются приказом директора Центра, с распределением обязанностей.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2.6.1. Ответственный сотрудник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в соответствии с утвержденной дополнительной профессиональной программой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формирует группу слушателей (принимает заявки, готовит  список группы);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составляет график проведения курсов, контролирует его выполнение. График составляется с учетом поступающих заявок от образовательных организаций и (или) запросов слушателей;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проводит подготовку учебно-методической документации (учебного плана, учебно-тематического плана, программы повышения квалификации, расписания занятий);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осуществляет подбор профессорско-преподавательского состава курсов;  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готовит и тиражирует учебно-методические и организационные (раздаточные) материалы;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предоставляет директору Центра, за 2 недели до начала курсов, на утверждение: учебный и учебно-тематический планы, расписание курсов, список группы;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1134" w:leader="none"/>
        </w:tabs>
        <w:suppressAutoHyphens w:val="true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cyan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готовит проекты приказов о проведении курсов с указанием ответственных лиц за организацию курсов и разработку учебно-методического обеспечения, а также состава аттестационной комиссии; о </w:t>
      </w:r>
      <w:r>
        <w:rPr>
          <w:rFonts w:ascii="Times New Roman" w:hAnsi="Times New Roman"/>
          <w:sz w:val="28"/>
          <w:szCs w:val="28"/>
        </w:rPr>
        <w:t>зачислении; о завершении обучения; об отчислении; об оплате специалистам и преподавателям, осуществляющим проведение курсов;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обеспечивает заключение договоров возмездного оказания преподавательских услуг;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 заключение договоров на оказание платных образовательных услуг с юридическими или физическими лицами;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сбор документов от слушателей (заявление, карточка слушателя, договор на оказание платных образовательных услуг);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осуществляет сверку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предварительного списка слушателей с фактически присутствующими, по мере необходимости вносит изменения в список, проверяет точность персональных данных слушателей </w:t>
      </w:r>
      <w:r>
        <w:rPr>
          <w:rFonts w:cs="Times New Roman" w:ascii="Times New Roman" w:hAnsi="Times New Roman"/>
          <w:sz w:val="28"/>
          <w:szCs w:val="28"/>
        </w:rPr>
        <w:t>на установочной лекции со слушателями</w:t>
      </w:r>
      <w:r>
        <w:rPr>
          <w:rFonts w:cs="Times New Roman" w:ascii="Times New Roman" w:hAnsi="Times New Roman"/>
          <w:sz w:val="28"/>
          <w:szCs w:val="28"/>
          <w:lang w:val="en-US"/>
        </w:rPr>
        <w:t>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информирует слушателей о режиме занятий, правилах внутреннего трудового распорядка, требованиях к освоению программы;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 удостоверения о повышении квалификации;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вносит в книге регистрации выдачи документов о дополнительном профессиональном образовании соответствующие записи (указывается название программы, сроки обучения, дата получения документа, номер и дата регистрации приказа о завершении обучения);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ведет и сдает заместителю директора после завершения курсов, не позднее 3 дней, следующую документацию: журнал проведения курсов, приказы о зачислении и завершении обучения, учебный и учебно-тематический планы, учетную карточку, сведения о явке слушателей, расписание занятий, отчет по итогам курсов, перечень </w:t>
      </w:r>
      <w:r>
        <w:rPr>
          <w:rFonts w:ascii="Times New Roman" w:hAnsi="Times New Roman"/>
          <w:sz w:val="28"/>
          <w:szCs w:val="28"/>
        </w:rPr>
        <w:t>учебно-методического (</w:t>
      </w:r>
      <w:r>
        <w:rPr>
          <w:rFonts w:cs="Times New Roman" w:ascii="Times New Roman" w:hAnsi="Times New Roman"/>
          <w:sz w:val="28"/>
          <w:szCs w:val="28"/>
        </w:rPr>
        <w:t>раздаточного) материала, ведомость приема зачета у слушателей, ведомость выдачи документов об образовании, ведомость учета часов преподавателей, информацию (сценарные планы) о проведении круглого стола и зачетного занятия, оценочные листы приема зачета у слушателей, пакет документов слушателей (заявление, карточка слушателя, договор на оказание платных образовательных услуг).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 В случае если группа не была сформирована из-за недостаточного количества заявок, Ответственный сотрудник незамедлительно информирует об этом руководителей образовательных организаций и слушателей, подавших заявки.  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 Ответственность за своевременную явку на курсы повышения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квалификации лежит на стороне, направляющей слушателя на курсы, а также на самом слушателе.  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Образовательная деятельность слушателей предусматривает следующие виды учебных занятий: лекции, практические и семинарские занятия,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 работы и другие виды учебных занятий и учебных работ, определенные учебным планом.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Формы обучения и сроки освоения дополнительной профессиональной программы определяются образовательной программой и(или) договором об образовании. При этом минимально допустимый срок освоения программ повышения квалификации не менее 16 часов.</w:t>
      </w:r>
    </w:p>
    <w:p>
      <w:pPr>
        <w:pStyle w:val="Normal"/>
        <w:ind w:firstLine="54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Освоение дополнительных профессиональных образовательных программ завершается итоговой аттестацией слушателей в форме, определяемой локальным нормативным актом Центра.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2.12. Слушателям, успешно освоившим соответствующую дополнительную профессиональную программу и прошедшим итоговую аттестацию, выдается документ о квалификации</w:t>
      </w:r>
      <w:r>
        <w:rPr>
          <w:rFonts w:cs="Helvetica" w:ascii="Helvetica" w:hAnsi="Helvetica"/>
          <w:lang w:val="en-US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t xml:space="preserve">удостоверение о повышении квалификации) на бланке, образец которого самостоятельно установлен Центром.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Слушателям, не прошедшим итоговой аттестации или получившим на итоговой аттестации неудовлетворительные результаты, а также слушателям, освоившим часть дополнительной профессиональной программы и(или) отчисленным из Центра, выдается справка об обучении или о периоде обучения по образцу, самостоятельно устанавливаемому Центром.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При освоении дополнительной профессиональной программы параллельно с получением среднего профессионального образования и(или) высшего образования удостоверение о повышении квалификации выдаются одновременно с получением соответствующего документа об образовании и о квалификации.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3. Правила приема слушателей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3.1.  Курсы проводятся по заявкам </w:t>
      </w:r>
      <w:r>
        <w:rPr>
          <w:rFonts w:cs="Times New Roman" w:ascii="Times New Roman" w:hAnsi="Times New Roman"/>
          <w:sz w:val="28"/>
          <w:szCs w:val="28"/>
        </w:rPr>
        <w:t>физических или юридических лиц, обязующихся оплатить обучение слушателя, зачисляемого на обучение.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3.2.  В случае невозможности направления специалиста на курсы </w:t>
      </w:r>
      <w:r>
        <w:rPr>
          <w:rFonts w:cs="Times New Roman" w:ascii="Times New Roman" w:hAnsi="Times New Roman"/>
          <w:sz w:val="28"/>
          <w:szCs w:val="28"/>
        </w:rPr>
        <w:t>физические и(или) юридические лица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должны не позднее чем за 2 недели до начала обучения письменно уведомить об этом Центр.  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3.3.  Слушатель, прибывший на обучение Центр, предъявляет:  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- оригинал документа, удостоверяющего личность (паспорта);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- оригинал и копию документа об образовании, заверенную надлежащим образом или справку о получении среднего профессионального и(или) высшего образование; 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- оригинал свидетельства о браке и(или) смене фамилии, имени, отчества (в случае если фамилия/имя/отчество в паспорте не совпадает с данными в документе об образовании);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договор об оказании платных образовательных услуг (2 экземпляра);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- копию квитанции об оплате за обучение;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- самостоятельную работу (если предусмотрено учебным планом).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3.4. По прибытии в Центр слушатель заполняет заявление, согласие слушателя на обработку персональных данных, карточку</w:t>
      </w:r>
      <w:r>
        <w:rPr>
          <w:rFonts w:cs="Times New Roman" w:ascii="Times New Roman" w:hAnsi="Times New Roman"/>
          <w:sz w:val="28"/>
          <w:szCs w:val="28"/>
        </w:rPr>
        <w:t xml:space="preserve"> слушателя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установленной формы,.  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3.5. Зачисление специалистов на курсы в качестве слушателей оформляется приказом директора Центра.  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3.6.  Слушатели, опоздавшие к началу учебы на 2 дня и более без уважительных причин, на обучение не зачисляются.  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4. Режим занятий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</w:t>
      </w:r>
      <w:r>
        <w:rPr>
          <w:rFonts w:cs="Times New Roman" w:ascii="Times New Roman" w:hAnsi="Times New Roman"/>
          <w:sz w:val="28"/>
          <w:szCs w:val="28"/>
          <w:lang w:val="en-US"/>
        </w:rPr>
        <w:t>Организация образовательной деятельности на курсах в Центре регламентируется календарным учебным графиком, учебным планом, расписанием занятий.  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</w:t>
      </w:r>
      <w:r>
        <w:rPr>
          <w:rFonts w:cs="Times New Roman" w:ascii="Times New Roman" w:hAnsi="Times New Roman"/>
          <w:sz w:val="28"/>
          <w:szCs w:val="28"/>
          <w:lang w:val="en-US"/>
        </w:rPr>
        <w:t>Занятия на курсах проходят в режиме не более 8 часов в день.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4.3.  Начало занятий в 09:00 часов.  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4.4.  </w:t>
      </w:r>
      <w:r>
        <w:rPr>
          <w:rFonts w:cs="Times New Roman"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4.5.  Одно занятие включает, как правило, два академических часа. Перерыв между учебными занятиями составляет не менее десяти минут.  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4.6. Для организации питания слушателей в режиме учебных занятий устанавливается перерыв продолжительностью 1 час.  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5. Формы и порядок итоговой аттестации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5.1. Оценка качества освоения дополнительных профессиональных программ проводится в отношении: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5.2. Оценка качества освоения дополнительных профессиональных программ проводится в следующих формах: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внутренний мониторинг качества образования;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внешняя независимая оценка качества образования.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5.3. Центр самостоятельно устанавливает виды и формы внутренней оценки качества реализации программ повышения квалификации и их результатов.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Требования к внутренней оценке качества программ повышения квалификации и результатов их реализации утверждается в порядке, предусмотренном в локальном акте Центра.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Организации на добровольной основе могут применять процедуры независимой оценки качества образования.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5.4. Формы итоговой аттестации слушателей определены в локальном акте Центра и соответствующей программе повышения квалификации.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5.5.  По результатам любого из видов итоговых аттестационных испытаний, включенных в итоговую аттестацию, выставляются отметки по четырехбалльной системе (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отлично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хорошо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удовлетворительно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неудовлетворительно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):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отметка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неудовлетворительно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(недостаточный уровень - при выполнении от 0 % до 39% заданий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аттестационных испытаний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)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выставляется слушателю,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 работы;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отметку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удовлетворительно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(допустимый уровень - при выполнении от 40% до 59% заданий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аттестационных испытаний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)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заслуживает слушатель, показавший частичное освоение планируемых результатов (знаний, умений, компетенций), предусмотренных программой, сформированность не в полной мере новых компетенций и профессиональных умений для осуществления профессиональной деятельности, знакомый с литературой, публикациями, рекомендованными программой;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отметку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хорошо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(достаточный уровень - при выполнении от 60% до 79%  заданий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аттестационных испытаний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)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заслуживает слушатель,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профессиональной деятельности;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отметку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отлично</w:t>
      </w:r>
      <w:r>
        <w:rPr>
          <w:rFonts w:eastAsia="Times New Roman"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(повышенный уровень - при выполнении от 80% до 100% заданий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аттестационных испытаний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)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заслуживает слушатель,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Слушатель считается аттестованным, если имеет положительные отметки (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lang w:val="en-US"/>
        </w:rPr>
        <w:t>отлично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lang w:val="en-US"/>
        </w:rPr>
        <w:t>хорошо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lang w:val="en-US"/>
        </w:rPr>
        <w:t>удовлетворительно</w:t>
      </w:r>
      <w:r>
        <w:rPr>
          <w:rFonts w:cs="Times New Roman" w:ascii="Times New Roman" w:hAnsi="Times New Roman"/>
          <w:sz w:val="28"/>
          <w:szCs w:val="28"/>
        </w:rPr>
        <w:t xml:space="preserve">») </w:t>
      </w:r>
      <w:r>
        <w:rPr>
          <w:rFonts w:cs="Times New Roman" w:ascii="Times New Roman" w:hAnsi="Times New Roman"/>
          <w:sz w:val="28"/>
          <w:szCs w:val="28"/>
          <w:lang w:val="en-US"/>
        </w:rPr>
        <w:t>по итогам аттестационных испытаний.  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Для определения эффективности и качества обучения слушателей на курсах повышения квалификации допускается 2 вида тестирования: входящее и итоговое.  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5.6.  Входящее тестирование проводится на начальном этапе обучения с целью определения уровня профессиональной подготовки слушателей перед началом обучения.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5.7. Оценка степени и уровня освоения программы повышения квалификации осуществляется аттестационной комиссией (далее – Комиссия).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5.8. Состав Комиссии утверждается приказом по каждой программе повышения квалификации, реализуемой Центром. </w:t>
      </w:r>
      <w:bookmarkStart w:id="1" w:name="z2"/>
      <w:bookmarkEnd w:id="1"/>
      <w:r>
        <w:rPr>
          <w:rFonts w:cs="Times New Roman" w:ascii="Times New Roman" w:hAnsi="Times New Roman"/>
          <w:sz w:val="28"/>
          <w:szCs w:val="28"/>
          <w:lang w:val="en-US"/>
        </w:rPr>
        <w:t>В состав Комиссии входят три человека: председатель, член Комиссии и секретарь.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5.9. Председатель Комиссии организует, планирует работу Комиссии, председательствует на заседаниях, контролирует ее деятельность, обеспечивает единство требований, предъявляемых к слушателям, осуществляет общий контроль и несет ответственность за деятельность и принимаемые решения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5.10. Член Комиссии назначается из числа преподавателей, специалистов Центра, специалистов организаций по профилю осваиваемой слушателями программы.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5.11. Секретарь Комиссии назначается из числа специалистов Центра, подготавливает соответствующие материалы к заседанию Комиссии, необходимые документы и оформляет протокол после его проведения.</w:t>
      </w:r>
    </w:p>
    <w:p>
      <w:pPr>
        <w:pStyle w:val="ConsPlusNormal"/>
        <w:ind w:firstLine="540"/>
        <w:jc w:val="both"/>
        <w:rPr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5.12. Решение Комиссии оформляется протоколом, который подписывается председателем, членом, секретарем Комиссии. Результаты итоговой аттестации (оценочные тесты очного и дистанционного этапов) вносятся в аттестационный лист. Секретарь Комиссии оформляет приказ о завершении обучения на курсах.</w:t>
      </w:r>
    </w:p>
    <w:p>
      <w:pPr>
        <w:pStyle w:val="Normal"/>
        <w:tabs>
          <w:tab w:val="left" w:pos="993" w:leader="none"/>
          <w:tab w:val="left" w:pos="1134" w:leader="none"/>
          <w:tab w:val="left" w:pos="1418" w:leader="none"/>
        </w:tabs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bookmarkStart w:id="2" w:name="z4"/>
      <w:bookmarkStart w:id="3" w:name="z5"/>
      <w:bookmarkEnd w:id="2"/>
      <w:bookmarkEnd w:id="3"/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Решение Комиссии принимается открытым голосованием и считается принятым, если за него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 Комиссии.</w:t>
      </w:r>
    </w:p>
    <w:p>
      <w:pPr>
        <w:pStyle w:val="Normal"/>
        <w:tabs>
          <w:tab w:val="left" w:pos="993" w:leader="none"/>
          <w:tab w:val="left" w:pos="1134" w:leader="none"/>
          <w:tab w:val="left" w:pos="1418" w:leader="none"/>
        </w:tabs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5.13.</w:t>
      </w:r>
      <w:bookmarkStart w:id="4" w:name="z6"/>
      <w:bookmarkEnd w:id="4"/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Члены Комиссии имеют право на особое мнение, которое, в случае его выражения, должно быть изложено в письменном виде и приложено к протоколу.</w:t>
      </w:r>
    </w:p>
    <w:p>
      <w:pPr>
        <w:pStyle w:val="Normal"/>
        <w:tabs>
          <w:tab w:val="left" w:pos="993" w:leader="none"/>
          <w:tab w:val="left" w:pos="1134" w:leader="none"/>
          <w:tab w:val="left" w:pos="1418" w:leader="none"/>
        </w:tabs>
        <w:spacing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5.14.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При отсутствии на заседании одного из членов Комиссии, заседание считается несостоявшимся.</w:t>
      </w:r>
      <w:bookmarkStart w:id="5" w:name="z3"/>
      <w:bookmarkStart w:id="6" w:name="z14"/>
      <w:bookmarkEnd w:id="5"/>
      <w:bookmarkEnd w:id="6"/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Замещение отсутствующих членов Комиссии не допускается.</w:t>
      </w:r>
    </w:p>
    <w:p>
      <w:pPr>
        <w:pStyle w:val="Normal"/>
        <w:shd w:val="clear" w:color="auto" w:fill="FFFFFF"/>
        <w:tabs>
          <w:tab w:val="left" w:pos="993" w:leader="none"/>
          <w:tab w:val="left" w:pos="1134" w:leader="none"/>
          <w:tab w:val="left" w:pos="1418" w:leader="none"/>
        </w:tabs>
        <w:spacing w:before="0" w:after="0"/>
        <w:ind w:firstLine="567"/>
        <w:contextualSpacing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5.15.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Протоколы Комиссии, аттестационные листы хранятся у заместителя директора Центра.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6. Порядок и основания перевода, отчисления и восстановления слушателей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6.1. Вопрос о переводе слушателя с одной образовательной программы на другую решается аттестационной комиссией на основании личного заявления.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6.2. Слушатель может быть отчислен из числа обучающихся Центра: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- по инициативе слушателя (заявление в письменной форме);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 xml:space="preserve">по инициативе администрации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 в связи: невыполнением слушателем обязанностей по добросовествому освоению дополнительной профессиональной программы и учебного плана; с получением отрицательного результата при итоговой аттестации слушателей (на основании решения аттестационной комиссии); нарушением положений Устава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, Правил внутреннего распорядка для слушателей и других локальных актов, регулирующих релизацию дополнительной профессиональной программы в </w:t>
      </w:r>
      <w:r>
        <w:rPr>
          <w:rFonts w:ascii="Times New Roman" w:hAnsi="Times New Roman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  <w:lang w:val="en-US"/>
        </w:rPr>
        <w:t xml:space="preserve">; с совершением административного правонарушения; с невыполнением условий заключенного договора </w:t>
      </w:r>
      <w:r>
        <w:rPr>
          <w:rFonts w:ascii="Times New Roman" w:hAnsi="Times New Roman"/>
          <w:sz w:val="28"/>
          <w:szCs w:val="28"/>
        </w:rPr>
        <w:t>об оказании платных образовательных услуг;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- в связи с завершением обучения. 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6.3.  Слушатели, отчисленные за неуспеваемость по итоговой аттестации, а также отчисленные за нарушение </w:t>
      </w:r>
      <w:r>
        <w:rPr>
          <w:rFonts w:ascii="Times New Roman" w:hAnsi="Times New Roman"/>
          <w:sz w:val="28"/>
          <w:szCs w:val="28"/>
          <w:lang w:val="en-US"/>
        </w:rPr>
        <w:t xml:space="preserve">положений Устава </w:t>
      </w:r>
      <w:r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  <w:lang w:val="en-US"/>
        </w:rPr>
        <w:t xml:space="preserve">, Правил внутреннего распорядка для слушателей и других локальных актов, регулирующих релизацию дополнительной профессиональной программы в </w:t>
      </w:r>
      <w:r>
        <w:rPr>
          <w:rFonts w:ascii="Times New Roman" w:hAnsi="Times New Roman"/>
          <w:sz w:val="28"/>
          <w:szCs w:val="28"/>
        </w:rPr>
        <w:t>Центре</w:t>
      </w:r>
      <w:r>
        <w:rPr>
          <w:rFonts w:cs="Times New Roman" w:ascii="Times New Roman" w:hAnsi="Times New Roman"/>
          <w:sz w:val="28"/>
          <w:szCs w:val="28"/>
          <w:lang w:val="en-US"/>
        </w:rPr>
        <w:t>, как не явившиеся по неуважительной причине на итоговую аттестацию, могут быть зачислены в порядке восстановления для повторного прохождения итоговой аттестации на основании личного заявления по разрешению директора Центра на курсы повышения квалификации по пройденной программе.  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6.4.  Основанием перевода, отчисления и восстановления слушателей является приказ директора Центра.  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7. Порядок оформления возникновения, приостановления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и прекращения отношений между Центром и слушателями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7.1. </w:t>
      </w:r>
      <w:r>
        <w:rPr>
          <w:rFonts w:cs="Times New Roman" w:ascii="Times New Roman" w:hAnsi="Times New Roman"/>
          <w:sz w:val="28"/>
          <w:szCs w:val="28"/>
        </w:rPr>
        <w:t>Основанием возникновения образовательных отношений между Центром и обучающимися (далее – слушатели) является заявка слушателя на обучение и приказ директора Центра о приеме лица на обучение. 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7.2. Договор об оказании образовательных услуг заключается с организацией, направившей на обучение специалиста, либо с физическим лицом, желающим пройти обучение на курсах повышения квалификации за свой счет.  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7.3. Основанием для изменения образовательных отношений является внесение соответствующих изменений в договор.  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7.4. Образовательные отношения прекращаются в случаях перечисленных в п. 6.2.  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7.5. Порядок и условия восстановления в Центре слушателя, отчисленного по инициативе Центра, определяются директором в индивидуальном порядке.  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7.6. Основанием для восстановления образовательных отношений является приказ директора Центра о восстановлении слушателя.  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8. Заключительные положения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8.1 Внесение изменений в настоящее Положение осуществляется в установленном в Центре порядке.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8.2. В соответствии с настоящим Положением разрабатываются и принимаются в установленном порядке иные локальные нормативные акты, регламентирующие деятельность Центра в сфере дополнительного профессионального образования.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8.3. Настоящее Положение действует с момента их утверждения и до их изменения.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8.4.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Настоящее Положение после утверждения </w:t>
      </w:r>
      <w:r>
        <w:rPr>
          <w:rFonts w:cs="Times New Roman" w:ascii="Times New Roman" w:hAnsi="Times New Roman"/>
          <w:sz w:val="28"/>
          <w:szCs w:val="28"/>
        </w:rPr>
        <w:t>размещается на официальном сайте Центра.</w:t>
      </w:r>
    </w:p>
    <w:p>
      <w:pPr>
        <w:sectPr>
          <w:footerReference w:type="default" r:id="rId2"/>
          <w:type w:val="nextPage"/>
          <w:pgSz w:w="11906" w:h="16838"/>
          <w:pgMar w:left="1276" w:right="706" w:header="0" w:top="567" w:footer="400" w:bottom="709" w:gutter="0"/>
          <w:pgNumType w:fmt="decimal"/>
          <w:formProt w:val="false"/>
          <w:textDirection w:val="lrTb"/>
          <w:docGrid w:type="default" w:linePitch="272" w:charSpace="4294961151"/>
        </w:sectPr>
        <w:pStyle w:val="Normal"/>
        <w:pBdr/>
        <w:tabs>
          <w:tab w:val="left" w:pos="23210" w:leader="none"/>
        </w:tabs>
        <w:jc w:val="both"/>
        <w:rPr>
          <w:rStyle w:val="Pagenumber"/>
        </w:rPr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276" w:right="706" w:header="0" w:top="567" w:footer="400" w:bottom="709" w:gutter="0"/>
      <w:pgNumType w:fmt="decimal"/>
      <w:formProt w:val="false"/>
      <w:textDirection w:val="lrTb"/>
      <w:docGrid w:type="default" w:linePitch="27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8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cs="Times New Roman"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91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8"/>
                      <w:pBdr/>
                      <w:rPr/>
                    </w:pPr>
                    <w:r>
                      <w:rPr>
                        <w:rStyle w:val="Pagenumber"/>
                        <w:rFonts w:cs="Times New Roman" w:ascii="Times New Roman" w:hAnsi="Times New Roman"/>
                        <w:sz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Normal"/>
    <w:link w:val="20"/>
    <w:qFormat/>
    <w:rsid w:val="00c352a1"/>
    <w:pPr>
      <w:keepNext/>
      <w:widowControl w:val="false"/>
      <w:suppressAutoHyphens w:val="true"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paragraph" w:styleId="3">
    <w:name w:val="Заголовок 3"/>
    <w:basedOn w:val="Normal"/>
    <w:link w:val="30"/>
    <w:qFormat/>
    <w:rsid w:val="00c352a1"/>
    <w:pPr>
      <w:keepNext/>
      <w:widowControl w:val="false"/>
      <w:suppressAutoHyphens w:val="true"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f63d3d"/>
    <w:rPr/>
  </w:style>
  <w:style w:type="character" w:styleId="21" w:customStyle="1">
    <w:name w:val="Заголовок 2 Знак"/>
    <w:basedOn w:val="DefaultParagraphFont"/>
    <w:link w:val="2"/>
    <w:qFormat/>
    <w:rsid w:val="00c352a1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c352a1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Copy3" w:customStyle="1">
    <w:name w:val="copy3"/>
    <w:basedOn w:val="DefaultParagraphFont"/>
    <w:qFormat/>
    <w:rsid w:val="00c352a1"/>
    <w:rPr/>
  </w:style>
  <w:style w:type="character" w:styleId="Style11" w:customStyle="1">
    <w:name w:val="Нижний колонтитул Знак"/>
    <w:basedOn w:val="DefaultParagraphFont"/>
    <w:link w:val="a4"/>
    <w:uiPriority w:val="99"/>
    <w:qFormat/>
    <w:rsid w:val="00e124e2"/>
    <w:rPr/>
  </w:style>
  <w:style w:type="character" w:styleId="Pagenumber">
    <w:name w:val="page number"/>
    <w:basedOn w:val="DefaultParagraphFont"/>
    <w:uiPriority w:val="99"/>
    <w:semiHidden/>
    <w:unhideWhenUsed/>
    <w:qFormat/>
    <w:rsid w:val="00e124e2"/>
    <w:rPr/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e124e2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strike w:val="false"/>
      <w:dstrike w:val="fals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552b4c"/>
    <w:pPr>
      <w:widowControl w:val="false"/>
      <w:bidi w:val="0"/>
      <w:jc w:val="left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9733a9"/>
    <w:pPr>
      <w:widowControl/>
      <w:bidi w:val="0"/>
      <w:jc w:val="left"/>
    </w:pPr>
    <w:rPr>
      <w:rFonts w:ascii="Calibri" w:hAnsi="Calibri" w:eastAsia="Cambria" w:cs="Calibri" w:eastAsiaTheme="minorHAnsi"/>
      <w:color w:val="000000"/>
      <w:sz w:val="24"/>
      <w:szCs w:val="24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c352a1"/>
    <w:pPr>
      <w:suppressAutoHyphens w:val="true"/>
      <w:spacing w:before="0" w:after="200"/>
      <w:ind w:left="720" w:hanging="0"/>
      <w:jc w:val="both"/>
    </w:pPr>
    <w:rPr>
      <w:rFonts w:ascii="Times New Roman" w:hAnsi="Times New Roman" w:eastAsia="Calibri" w:cs="Times New Roman"/>
      <w:sz w:val="20"/>
      <w:szCs w:val="22"/>
      <w:lang w:eastAsia="ar-SA"/>
    </w:rPr>
  </w:style>
  <w:style w:type="paragraph" w:styleId="211" w:customStyle="1">
    <w:name w:val="Основной текст 21"/>
    <w:basedOn w:val="Normal"/>
    <w:qFormat/>
    <w:rsid w:val="004c6df9"/>
    <w:pPr>
      <w:widowControl w:val="false"/>
      <w:spacing w:lineRule="auto" w:line="360"/>
      <w:ind w:firstLine="720"/>
      <w:jc w:val="both"/>
    </w:pPr>
    <w:rPr>
      <w:rFonts w:ascii="Times New Roman" w:hAnsi="Times New Roman" w:eastAsia="Times New Roman" w:cs="Times New Roman"/>
      <w:szCs w:val="20"/>
    </w:rPr>
  </w:style>
  <w:style w:type="paragraph" w:styleId="Iauiue" w:customStyle="1">
    <w:name w:val="Iau?iue"/>
    <w:qFormat/>
    <w:rsid w:val="004c6df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Style18">
    <w:name w:val="Нижний колонтитул"/>
    <w:basedOn w:val="Normal"/>
    <w:link w:val="a5"/>
    <w:uiPriority w:val="99"/>
    <w:unhideWhenUsed/>
    <w:rsid w:val="00e124e2"/>
    <w:pPr>
      <w:tabs>
        <w:tab w:val="center" w:pos="4677" w:leader="none"/>
        <w:tab w:val="right" w:pos="9355" w:leader="none"/>
      </w:tabs>
    </w:pPr>
    <w:rPr/>
  </w:style>
  <w:style w:type="paragraph" w:styleId="Style19">
    <w:name w:val="Верхний колонтитул"/>
    <w:basedOn w:val="Normal"/>
    <w:link w:val="a8"/>
    <w:uiPriority w:val="99"/>
    <w:unhideWhenUsed/>
    <w:rsid w:val="00e124e2"/>
    <w:pPr>
      <w:tabs>
        <w:tab w:val="center" w:pos="4677" w:leader="none"/>
        <w:tab w:val="right" w:pos="9355" w:leader="none"/>
      </w:tabs>
    </w:pPr>
    <w:rPr/>
  </w:style>
  <w:style w:type="paragraph" w:styleId="ConsPlusCell" w:customStyle="1">
    <w:name w:val="ConsPlusCell"/>
    <w:uiPriority w:val="99"/>
    <w:qFormat/>
    <w:rsid w:val="00cf2d17"/>
    <w:pPr>
      <w:widowControl w:val="false"/>
      <w:bidi w:val="0"/>
      <w:jc w:val="left"/>
    </w:pPr>
    <w:rPr>
      <w:rFonts w:ascii="Times New Roman" w:hAnsi="Times New Roman" w:cs="Times New Roman" w:eastAsia="ＭＳ 明朝" w:eastAsiaTheme="minorEastAsia"/>
      <w:color w:val="auto"/>
      <w:sz w:val="24"/>
      <w:szCs w:val="24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Application>LibreOffice/5.0.2.2$MacOSX_X86_64 LibreOffice_project/37b43f919e4de5eeaca9b9755ed688758a8251fe</Application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2017-12-25T08:25:00Z</dcterms:created>
  <dc:creator>user</dc:creator>
  <dc:language>ru-RU</dc:language>
  <cp:lastPrinted>2020-02-23T05:09:00Z</cp:lastPrinted>
  <dcterms:modified xsi:type="dcterms:W3CDTF">2020-02-23T13:32:51Z</dcterms:modified>
  <cp:revision>271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